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2009 23 vom 28. April 2009</w:t>
      </w:r>
    </w:p>
    <w:p>
      <w:r>
        <w:t>GR Gerichte, 2009-04-28, DE</w:t>
      </w:r>
    </w:p>
    <w:p>
      <w:r>
        <w:rPr>
          <w:b/>
        </w:rPr>
        <w:t xml:space="preserve">Quelle: </w:t>
      </w:r>
      <w:r>
        <w:t>https://mcp.opencaselaw.ch/entscheid/gr_gerichte_PVG 2009 23</w:t>
      </w:r>
    </w:p>
    <w:p>
      <w:r>
        <w:t>FR: GR_GERICHTE PVG 2009 23 du 28 avril 2009</w:t>
      </w:r>
    </w:p>
    <w:p>
      <w:r>
        <w:t>IT: GR_GERICHTE PVG 2009 23 del 28 aprile 2009</w:t>
      </w:r>
    </w:p>
    <w:p>
      <w:pPr>
        <w:pStyle w:val="Heading2"/>
      </w:pPr>
      <w:r>
        <w:t>Erwägungen</w:t>
      </w:r>
    </w:p>
    <w:p>
      <w:r>
        <w:rPr>
          <w:b/>
        </w:rPr>
        <w:t>E. 2</w:t>
      </w:r>
    </w:p>
    <w:p>
      <w:r>
        <w:t>Gemäss Art. 15 Abs. 1 aGStG sind Handänderungen an Grundstücken, unbekümmert um einen Grundbucheintrag, jeder Eigentumswechsel und jede Übertragung der tatsächlichen oder wirtschaftlichen Verfügungsgewalt über ein Grundstück. Die Be- stimmung von Art. 15 Abs. 1 aGStG dient dazu, auch jene Handän- derungen auf Grundstücken zu erfassen, welche mit einer Über- tragung von Eigentümerbefugnissen einhergehen, ohne dass die Parteien eine formelle zivilrechtliche Handänderung vereinbart und vollzogen haben. Die Übertragung der Verfügungsgewalt be- dingt den Übergang der wesentlichen Herrschaftsrechte, welche den Inhalt des Eigentums ausmachen (Art. 641 ZGB; vgl. VGE 612/93 mit Hinweisen). Vorliegend geht es um ein so genanntes Kettengeschäft. Vorausgesetzt ist dabei immer, dass die Verfü- gungsgewalt über ein Grundstück ohne Grundbucheintrag vom zivilrechtlichen Eigentümer vorerst auf einen nur wirtschaftlich Berechtigten übergeht, welcher seine wirtschaftliche Verfügungs- macht wiederum auf einen Dritten weiter überträgt usw., bevor es dann zu einer zivilrechtlichen Handänderung kommt. Die Steuer- pflicht entsteht, wenn der Ersterwerber die wirtschaftliche Ver- fügungsmacht nicht nur eingeräumt erhält, sondern diese auch zu Gunsten eines Dritten tatsächlich ausübt, indem der Dritte den Kauf grundbuchlich vollzieht. Hauptfall des Kettengeschäftes ist ein Kaufvertrag mit Substitutionsklausel. Mit Vertragsabschluss geht die tatsächliche und wirtschaftliche Verfügungsgewalt auf den Käufer über. Die Substitutionsklausel gibt ihm das Recht, einen Dritten in den Vertrag eintreten zu lassen mit der Wirkung, dass erst der Dritte im Grundbuch als neuer Eigentümer eingetragen wird. Das Substitutionsrecht kann mehrfach ausgeübt werden, be- vor eine zivilrechtliche Eigentumsübertragung stattfindet; daher der Begriff «Kettengeschäft». Wirtschaftliche Veräusserungen kön- nen auch vorliegen bei der entgeltlichen Begründung, Veräusse- rung oder Verzicht bei Kaufsrechten, Vorkaufsrechten oder Rück- kaufsrechten. Der Verzicht eines Kaufsberechtigten zugunsten eines Dritten auf ein vorgemerktes Kaufsrecht bedeutet eine wirt- schaftliche Veräusserung, wenn ein darüber abgeschlossener 130 23</w:t>
      </w:r>
    </w:p>
    <w:p>
      <w:r>
        <w:t>111 /23 Steuern PVG 2009 Kaufvertrag zwischen dem Eigentümer und dem Dritten vollzogen wird. Eine wirtschaftliche Veräusserung kann auch bei einem Kauf- vertrag ohne Substitutionsklausel vorliegen, wenn der Käufer das Grundstück zu den gleichen Bedingungen oder einem höheren Preis weiterverkauft, also gleich handelt wie der Weiterverkäufer beim Kettenhandel. In jedem einzelnen Fall ist gestützt auf die Ge- samtheit der Vereinbarungen zwischen Veräusserer und Berechtig- tem zu entscheiden, ob die vorgenannten Tatbestände – ein- schliesslich die sogenannten Kettengeschäfte – wirtschaftliche Veräusserungen sind. Der Erwerber muss in jedem Fall eine ei- gentümerähnliche Stellung erhalten. Dies setzt voraus, dass der Veräusserer seine Rechte nach den objektiven Umständen erkenn- bar aufgeben will und der Erwerber z. B. berechtigt wird, das Grundstück selbständig und auf eigene Rechnung zu verkaufen. Es gibt durchaus Fälle, wo zwar der Eigentümer einem anderen Vor- rechte (z. B. in der Form von Vorkaufs- oder Kaufsrechten) ein- räumt, ohne sich seiner wesentlichen Herrschaftsrechte zu bege- ben. Dann bleibt es bei der zivilrechtlichen Betrachtungsweise (vgl. zum Ganzen wiederum VGE 612/93). A 08 79 Urteil vom 24. Februar 2009 Die dagegen an das Bundesgericht erhobene Beschwerde in öf- fentlich-rechtlichen Angelegenheiten wurde am 2. Februar 2010 ab- gewiesen, soweit darauf eingetreten wurde (2C_278/2009). 131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